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shd w:val="clear" w:color="auto" w:fill="auto"/>
        <w:snapToGrid w:val="0"/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 w:color="auto" w:fill="auto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安定炉渣综合利用厂破碎铁、铁粉资源化产品利用业务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竞争性谈判、业务合同签订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 w:color="auto" w:fill="auto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 w:color="auto" w:fill="auto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b/>
          <w:bCs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b/>
          <w:bCs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 w:color="auto" w:fill="auto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 w:color="auto" w:fill="auto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pStyle w:val="26"/>
        <w:spacing w:line="360" w:lineRule="auto"/>
        <w:ind w:right="-48" w:rightChars="-15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>
      <w:pPr>
        <w:shd w:val="clear" w:color="auto" w:fill="auto"/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承诺函</w:t>
      </w:r>
    </w:p>
    <w:p>
      <w:pPr>
        <w:shd w:val="clear" w:color="auto" w:fill="auto"/>
        <w:snapToGrid w:val="0"/>
        <w:spacing w:line="360" w:lineRule="auto"/>
        <w:ind w:left="100"/>
        <w:rPr>
          <w:rFonts w:hint="default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eastAsia="zh-CN"/>
        </w:rPr>
        <w:t>致：北京环境卫生工程集团有限公司</w:t>
      </w:r>
      <w:r>
        <w:rPr>
          <w:rFonts w:hint="eastAsia" w:ascii="宋体" w:hAnsi="宋体" w:eastAsia="宋体" w:cs="宋体"/>
          <w:snapToGrid w:val="0"/>
          <w:sz w:val="21"/>
          <w:szCs w:val="21"/>
          <w:highlight w:val="none"/>
          <w:lang w:val="en-US" w:eastAsia="zh-CN"/>
        </w:rPr>
        <w:t>安定园区运营管理分公司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我方承诺，我方已知悉、同意并理解以下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内容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：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服务期内，我方预付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破碎铁、铁粉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资源化利用业务的费用。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、在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竞争性谈判邀请函中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提供的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再生资源处理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量仅供参考，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实际破碎铁、铁粉资源再利用数量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以实际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运出炉渣综合利用厂的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为准，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因不可抗因素对方暂停资源化产品销售工作，我方配合解除相应合同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。</w:t>
      </w:r>
    </w:p>
    <w:p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3、我方承诺若两次报价后，我方出现报价与其他报价单位都相同的情况，致使不能确定1名入围服务商，我方同意再次开展竞争性谈判，直至评选出1名入围服务商。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4、我方承诺将遵守你方及所属单位的相关规定，服从现场管理，确保厂内安全和环境卫生良好，以你方地磅称重数据作为结算依据。</w:t>
      </w:r>
    </w:p>
    <w:p>
      <w:pPr>
        <w:pStyle w:val="2"/>
        <w:shd w:val="clear" w:color="auto" w:fill="auto"/>
        <w:snapToGrid w:val="0"/>
        <w:spacing w:line="360" w:lineRule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5、我方承诺与你方及所属各单位之间均不存在控制关系、投资关系、人事关系、财务关系等利益关系。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我方承诺，我方已充分了解该项目的总体情况、现场情况以及影响投标报价的其他要素，并自行承担其报价风险。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如我方违背以上承诺，我方同意取消我方的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入围服务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资格。</w:t>
      </w:r>
    </w:p>
    <w:p>
      <w:pPr>
        <w:pStyle w:val="2"/>
        <w:shd w:val="clear" w:color="auto" w:fill="auto"/>
        <w:snapToGrid w:val="0"/>
        <w:spacing w:line="360" w:lineRule="auto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</w:p>
    <w:p>
      <w:pPr>
        <w:shd w:val="clear" w:color="auto" w:fill="auto"/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投标人：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 w:color="000000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eastAsia="zh-CN"/>
        </w:rPr>
        <w:t>（单位公章）</w:t>
      </w:r>
    </w:p>
    <w:p>
      <w:pPr>
        <w:pStyle w:val="2"/>
        <w:shd w:val="clear" w:color="auto" w:fill="auto"/>
        <w:rPr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  <w:lang w:val="en-US" w:eastAsia="zh-CN"/>
        </w:rPr>
        <w:t>日</w:t>
      </w: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附件3</w:t>
      </w:r>
    </w:p>
    <w:p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（第一次报价）</w:t>
      </w:r>
    </w:p>
    <w:p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4"/>
        <w:tblW w:w="7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2628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2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破碎铁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2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铁粉</w:t>
            </w:r>
          </w:p>
        </w:tc>
        <w:tc>
          <w:tcPr>
            <w:tcW w:w="2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8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根据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再生产品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类型设定资源化利用底价，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报价不得低于公告要求的底价，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报价包含运输费、资源化利用费用等。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</w:p>
    <w:p>
      <w:pPr>
        <w:pStyle w:val="2"/>
        <w:shd w:val="clear" w:color="auto" w:fill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附件4</w:t>
      </w:r>
    </w:p>
    <w:p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安定炉渣综合利用厂再生产品资源化利用业务报价单</w:t>
      </w:r>
    </w:p>
    <w:p>
      <w:pPr>
        <w:shd w:val="clear" w:color="auto" w:fill="auto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（第二次报价）</w:t>
      </w:r>
    </w:p>
    <w:p>
      <w:pPr>
        <w:shd w:val="clear" w:color="auto" w:fill="auto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>
      <w:pPr>
        <w:shd w:val="clear" w:color="auto" w:fill="auto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4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220"/>
        <w:gridCol w:w="223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在本次报价类别项目后打“√”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破碎铁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cs="仿宋_GB2312"/>
                <w:b w:val="0"/>
                <w:bCs/>
                <w:sz w:val="24"/>
                <w:highlight w:val="none"/>
                <w:lang w:val="en-US" w:eastAsia="zh-CN"/>
              </w:rPr>
              <w:t>铁粉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回收利用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注：</w:t>
      </w:r>
      <w:r>
        <w:rPr>
          <w:rFonts w:hint="eastAsia" w:ascii="仿宋_GB2312" w:hAnsi="仿宋_GB2312" w:cs="仿宋_GB2312"/>
          <w:b w:val="0"/>
          <w:bCs/>
          <w:sz w:val="24"/>
          <w:highlight w:val="none"/>
          <w:lang w:val="en-US" w:eastAsia="zh-CN"/>
        </w:rPr>
        <w:t>本次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不低于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第一次</w:t>
      </w:r>
      <w:r>
        <w:rPr>
          <w:rFonts w:hint="eastAsia" w:cs="仿宋_GB2312"/>
          <w:b w:val="0"/>
          <w:bCs/>
          <w:sz w:val="24"/>
          <w:highlight w:val="none"/>
          <w:lang w:val="en-US" w:eastAsia="zh-CN"/>
        </w:rPr>
        <w:t>对应类型金属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有效报价的最高报价视为有效报价。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b/>
          <w:bCs/>
          <w:sz w:val="24"/>
          <w:highlight w:val="none"/>
        </w:rPr>
        <w:t>（公章）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</w:t>
      </w:r>
      <w:r>
        <w:rPr>
          <w:rFonts w:hint="eastAsia"/>
          <w:b/>
          <w:bCs/>
          <w:sz w:val="24"/>
          <w:highlight w:val="none"/>
        </w:rPr>
        <w:t>（签字）</w:t>
      </w:r>
      <w:r>
        <w:rPr>
          <w:rFonts w:hint="eastAsia"/>
          <w:sz w:val="24"/>
          <w:highlight w:val="none"/>
        </w:rPr>
        <w:t>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p>
      <w:pPr>
        <w:pStyle w:val="26"/>
        <w:spacing w:line="360" w:lineRule="auto"/>
        <w:ind w:right="-48" w:rightChars="-15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7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both"/>
      <w:rPr>
        <w:sz w:val="21"/>
        <w:szCs w:val="21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